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54" w:rsidRPr="00A12254" w:rsidRDefault="00A12254" w:rsidP="00A12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proofErr w:type="spellStart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Protect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All Lines.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Protect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All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Lives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.™</w:t>
      </w:r>
    </w:p>
    <w:p w:rsidR="00A12254" w:rsidRPr="00A12254" w:rsidRDefault="00A12254" w:rsidP="00A122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50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patients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die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each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day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in US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hospitals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due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to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bloodstream</w:t>
      </w:r>
      <w:proofErr w:type="spellEnd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infections.</w:t>
      </w:r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de-AT"/>
        </w:rPr>
        <w:t>1</w:t>
      </w:r>
      <w:proofErr w:type="gramStart"/>
      <w:r w:rsidRPr="00A1225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de-AT"/>
        </w:rPr>
        <w:t>,2</w:t>
      </w:r>
      <w:proofErr w:type="gramEnd"/>
    </w:p>
    <w:p w:rsidR="00A12254" w:rsidRPr="00A12254" w:rsidRDefault="00A12254" w:rsidP="00A1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Catheter-related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bloodstream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infections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are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preventable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often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fatal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can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significantly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impact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hospital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CMS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reimbursement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 </w:t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01906552" wp14:editId="4C25C659">
            <wp:extent cx="5510893" cy="3086100"/>
            <wp:effectExtent l="0" t="0" r="0" b="0"/>
            <wp:docPr id="3" name="Bild 3" descr="https://www.ethicon.com/na/sites/na/files/2017-10/biopatchcard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thicon.com/na/sites/na/files/2017-10/biopatchcard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35" cy="31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5" style="width:0;height:1.5pt" o:hralign="center" o:hrstd="t" o:hr="t" fillcolor="#a0a0a0" stroked="f"/>
        </w:pict>
      </w:r>
    </w:p>
    <w:p w:rsidR="00D43F83" w:rsidRDefault="00D43F83"/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6" style="width:0;height:1.5pt" o:hralign="center" o:hrstd="t" o:hr="t" fillcolor="#a0a0a0" stroked="f"/>
        </w:pict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4828340D" wp14:editId="24F22BE6">
            <wp:extent cx="5744509" cy="3219450"/>
            <wp:effectExtent l="0" t="0" r="8890" b="0"/>
            <wp:docPr id="12" name="Bild 12" descr="https://www.ethicon.com/na/sites/na/files/2017-12/biopatchcard2_gre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thicon.com/na/sites/na/files/2017-12/biopatchcard2_grey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67" cy="32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7" style="width:0;height:1.5pt" o:hralign="center" o:hrstd="t" o:hr="t" fillcolor="#a0a0a0" stroked="f"/>
        </w:pict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pict>
          <v:rect id="_x0000_i1028" style="width:0;height:1.5pt" o:hralign="center" o:hrstd="t" o:hr="t" fillcolor="#a0a0a0" stroked="f"/>
        </w:pict>
      </w:r>
    </w:p>
    <w:p w:rsidR="00A12254" w:rsidRPr="00A12254" w:rsidRDefault="00A12254" w:rsidP="00A1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Peripheral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IVs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are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most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frequently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used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invasive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device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hospitals,</w:t>
      </w:r>
      <w:r w:rsidRPr="00A122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AT"/>
        </w:rPr>
        <w:t>7</w:t>
      </w: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standards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care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now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recommend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clinically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indicated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replacement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This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change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can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lead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to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improved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outcomes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increased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efficiency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better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patient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experience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. "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There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no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risk-free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line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vigilance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required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any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vascular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>device</w:t>
      </w:r>
      <w:proofErr w:type="spellEnd"/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placement.”</w:t>
      </w:r>
      <w:r w:rsidRPr="00A122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AT"/>
        </w:rPr>
        <w:t>8</w:t>
      </w:r>
      <w:r w:rsidRPr="00A1225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 </w:t>
      </w:r>
    </w:p>
    <w:p w:rsidR="00A12254" w:rsidRPr="00A12254" w:rsidRDefault="00A12254" w:rsidP="00A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12254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02729FE4" wp14:editId="121F1953">
            <wp:extent cx="6614498" cy="3762375"/>
            <wp:effectExtent l="0" t="0" r="0" b="0"/>
            <wp:docPr id="16" name="Bild 16" descr="https://www.ethicon.com/na/sites/na/files/2017-11/biopatch_-_card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thicon.com/na/sites/na/files/2017-11/biopatch_-_card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14" cy="37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54" w:rsidRDefault="00A12254"/>
    <w:sectPr w:rsidR="00A12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54"/>
    <w:rsid w:val="00A12254"/>
    <w:rsid w:val="00D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83B6-63B5-467D-9FD4-6E94941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3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4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7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Kainz</dc:creator>
  <cp:keywords/>
  <dc:description/>
  <cp:lastModifiedBy>Isabella Kainz</cp:lastModifiedBy>
  <cp:revision>1</cp:revision>
  <dcterms:created xsi:type="dcterms:W3CDTF">2018-03-01T07:54:00Z</dcterms:created>
  <dcterms:modified xsi:type="dcterms:W3CDTF">2018-03-01T08:02:00Z</dcterms:modified>
</cp:coreProperties>
</file>