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7E" w:rsidRPr="009D1E7E" w:rsidRDefault="009D1E7E" w:rsidP="009D1E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AT"/>
        </w:rPr>
      </w:pPr>
      <w:r w:rsidRPr="009D1E7E">
        <w:rPr>
          <w:rFonts w:ascii="Arial" w:eastAsia="Times New Roman" w:hAnsi="Arial" w:cs="Arial"/>
          <w:vanish/>
          <w:sz w:val="16"/>
          <w:szCs w:val="16"/>
          <w:lang w:eastAsia="de-AT"/>
        </w:rPr>
        <w:t>Formularbeginn</w:t>
      </w:r>
    </w:p>
    <w:p w:rsidR="009D1E7E" w:rsidRPr="009D1E7E" w:rsidRDefault="009D1E7E" w:rsidP="009D1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9D1E7E" w:rsidRPr="009D1E7E" w:rsidRDefault="009D1E7E" w:rsidP="009D1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D1E7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AT"/>
        </w:rPr>
        <w:drawing>
          <wp:inline distT="0" distB="0" distL="0" distR="0" wp14:anchorId="56BC08A7" wp14:editId="5F3B1EE3">
            <wp:extent cx="2286000" cy="800100"/>
            <wp:effectExtent l="0" t="0" r="0" b="0"/>
            <wp:docPr id="15" name="imgMainLogo" descr="http://en.adhezion.com/Images/Common/Adhezion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MainLogo" descr="http://en.adhezion.com/Images/Common/Adhezion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E7E" w:rsidRPr="009D1E7E" w:rsidRDefault="009D1E7E" w:rsidP="009D1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</w:p>
    <w:p w:rsidR="009D1E7E" w:rsidRPr="009D1E7E" w:rsidRDefault="009D1E7E" w:rsidP="009D1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D1E7E"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w:drawing>
          <wp:inline distT="0" distB="0" distL="0" distR="0" wp14:anchorId="5F510F45" wp14:editId="110C2A41">
            <wp:extent cx="9525000" cy="1905000"/>
            <wp:effectExtent l="0" t="0" r="0" b="0"/>
            <wp:docPr id="21" name="imgBanner" descr="Featured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anner" descr="Featured Ban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E7E" w:rsidRPr="009D1E7E" w:rsidRDefault="009D1E7E" w:rsidP="009D1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9D1E7E" w:rsidRPr="009D1E7E" w:rsidRDefault="009D1E7E" w:rsidP="009D1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9D1E7E" w:rsidRPr="009D1E7E" w:rsidRDefault="009D1E7E" w:rsidP="009D1E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</w:pPr>
      <w:proofErr w:type="spellStart"/>
      <w:r w:rsidRPr="009D1E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>SecurePortIV</w:t>
      </w:r>
      <w:proofErr w:type="spellEnd"/>
      <w:r w:rsidRPr="009D1E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 xml:space="preserve">™ </w:t>
      </w:r>
    </w:p>
    <w:p w:rsidR="009D1E7E" w:rsidRPr="009D1E7E" w:rsidRDefault="009D1E7E" w:rsidP="009D1E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</w:pPr>
      <w:r w:rsidRPr="009D1E7E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de-AT"/>
        </w:rPr>
        <w:drawing>
          <wp:inline distT="0" distB="0" distL="0" distR="0" wp14:anchorId="43C3B6DD" wp14:editId="417FFE3A">
            <wp:extent cx="6886575" cy="1466850"/>
            <wp:effectExtent l="0" t="0" r="0" b="0"/>
            <wp:docPr id="22" name="__mcenew" descr="http://en.adhezion.com/media/1116/website-header2.png?width=723&amp;height=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http://en.adhezion.com/media/1116/website-header2.png?width=723&amp;height=1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E7E" w:rsidRPr="009D1E7E" w:rsidRDefault="009D1E7E" w:rsidP="009D1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lastRenderedPageBreak/>
        <w:t>Peripheral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IV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catheter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insertion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is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most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common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invasive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hospital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procedure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performed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worldwide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 The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problem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?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It’s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extremely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prone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to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complications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with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an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overall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failure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rate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of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35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to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50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percent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even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in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hands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of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most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experienced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caregivers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. </w:t>
      </w:r>
    </w:p>
    <w:p w:rsidR="009D1E7E" w:rsidRPr="009D1E7E" w:rsidRDefault="009D1E7E" w:rsidP="009D1E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9D1E7E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But </w:t>
      </w:r>
      <w:proofErr w:type="spellStart"/>
      <w:r w:rsidRPr="009D1E7E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with</w:t>
      </w:r>
      <w:proofErr w:type="spellEnd"/>
      <w:r w:rsidRPr="009D1E7E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SecurePortIV</w:t>
      </w:r>
      <w:proofErr w:type="spellEnd"/>
      <w:r w:rsidRPr="009D1E7E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, all </w:t>
      </w:r>
      <w:proofErr w:type="spellStart"/>
      <w:r w:rsidRPr="009D1E7E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that</w:t>
      </w:r>
      <w:proofErr w:type="spellEnd"/>
      <w:r w:rsidRPr="009D1E7E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is</w:t>
      </w:r>
      <w:proofErr w:type="spellEnd"/>
      <w:r w:rsidRPr="009D1E7E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changing</w:t>
      </w:r>
      <w:proofErr w:type="spellEnd"/>
      <w:r w:rsidRPr="009D1E7E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.</w:t>
      </w:r>
    </w:p>
    <w:p w:rsidR="009D1E7E" w:rsidRPr="009D1E7E" w:rsidRDefault="009D1E7E" w:rsidP="009D1E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D1E7E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 xml:space="preserve">3X </w:t>
      </w:r>
      <w:proofErr w:type="spellStart"/>
      <w:r w:rsidRPr="009D1E7E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stronger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securement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than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transparent film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dressings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alone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and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superior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adhesiveness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compared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with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 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mechanical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securement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devices</w:t>
      </w:r>
      <w:r w:rsidRPr="009D1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AT"/>
        </w:rPr>
        <w:t>1</w:t>
      </w:r>
    </w:p>
    <w:p w:rsidR="009D1E7E" w:rsidRPr="009D1E7E" w:rsidRDefault="009D1E7E" w:rsidP="009D1E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Effectively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seals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catheter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insertion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site</w:t>
      </w:r>
      <w:proofErr w:type="spellEnd"/>
    </w:p>
    <w:p w:rsidR="009D1E7E" w:rsidRPr="009D1E7E" w:rsidRDefault="009D1E7E" w:rsidP="009D1E7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Can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help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reduce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early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dressing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changes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and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eliminate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24-48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hour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initial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dressing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change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protocols</w:t>
      </w:r>
      <w:proofErr w:type="spellEnd"/>
    </w:p>
    <w:p w:rsidR="009D1E7E" w:rsidRPr="009D1E7E" w:rsidRDefault="009D1E7E" w:rsidP="009D1E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9D1E7E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Immobilizes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skin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flora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that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can't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be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removed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by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standard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skin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prep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and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establishes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microbial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barrier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 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against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new</w:t>
      </w:r>
      <w:proofErr w:type="spellEnd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D1E7E">
        <w:rPr>
          <w:rFonts w:ascii="Times New Roman" w:eastAsia="Times New Roman" w:hAnsi="Times New Roman" w:cs="Times New Roman"/>
          <w:sz w:val="24"/>
          <w:szCs w:val="24"/>
          <w:lang w:eastAsia="de-AT"/>
        </w:rPr>
        <w:t>pathogens</w:t>
      </w:r>
      <w:proofErr w:type="spellEnd"/>
    </w:p>
    <w:p w:rsidR="009D1E7E" w:rsidRPr="009D1E7E" w:rsidRDefault="009D1E7E" w:rsidP="009D1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D1E7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de-AT"/>
        </w:rPr>
        <w:t>1  </w:t>
      </w:r>
      <w:r w:rsidRPr="009D1E7E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Data on </w:t>
      </w:r>
      <w:proofErr w:type="spellStart"/>
      <w:r w:rsidRPr="009D1E7E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file</w:t>
      </w:r>
      <w:proofErr w:type="spellEnd"/>
      <w:r w:rsidRPr="009D1E7E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, </w:t>
      </w:r>
      <w:proofErr w:type="spellStart"/>
      <w:r w:rsidRPr="009D1E7E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Adhezion</w:t>
      </w:r>
      <w:proofErr w:type="spellEnd"/>
      <w:r w:rsidRPr="009D1E7E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 xml:space="preserve"> Biomedical, LLC.</w:t>
      </w:r>
    </w:p>
    <w:p w:rsidR="009D1E7E" w:rsidRPr="009D1E7E" w:rsidRDefault="009D1E7E" w:rsidP="009D1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D1E7E"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  <w:t> </w:t>
      </w:r>
    </w:p>
    <w:p w:rsidR="009D1E7E" w:rsidRPr="009D1E7E" w:rsidRDefault="009D1E7E" w:rsidP="009D1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D1E7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de-AT"/>
        </w:rPr>
        <w:drawing>
          <wp:inline distT="0" distB="0" distL="0" distR="0" wp14:anchorId="464B0C3C" wp14:editId="7447ADB9">
            <wp:extent cx="9239250" cy="3133725"/>
            <wp:effectExtent l="0" t="0" r="0" b="9525"/>
            <wp:docPr id="23" name="__mcenew" descr="http://en.adhezion.com/media/1111/shutterstock_112026074-converted-2.png?width=970&amp;height=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http://en.adhezion.com/media/1111/shutterstock_112026074-converted-2.png?width=970&amp;height=3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1E7E" w:rsidRPr="009D1E7E" w:rsidRDefault="009D1E7E" w:rsidP="009D1E7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AT"/>
        </w:rPr>
      </w:pPr>
      <w:r w:rsidRPr="009D1E7E">
        <w:rPr>
          <w:rFonts w:ascii="Arial" w:eastAsia="Times New Roman" w:hAnsi="Arial" w:cs="Arial"/>
          <w:vanish/>
          <w:sz w:val="16"/>
          <w:szCs w:val="16"/>
          <w:lang w:eastAsia="de-AT"/>
        </w:rPr>
        <w:t>Formularende</w:t>
      </w:r>
    </w:p>
    <w:sectPr w:rsidR="009D1E7E" w:rsidRPr="009D1E7E" w:rsidSect="009D1E7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47459"/>
    <w:multiLevelType w:val="multilevel"/>
    <w:tmpl w:val="96AA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55D2D"/>
    <w:multiLevelType w:val="multilevel"/>
    <w:tmpl w:val="82BA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17B5A"/>
    <w:multiLevelType w:val="multilevel"/>
    <w:tmpl w:val="FF64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7E"/>
    <w:rsid w:val="0002093C"/>
    <w:rsid w:val="00264B80"/>
    <w:rsid w:val="009D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8E8AB-BDB2-4E2C-BA1C-033C4E15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1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1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003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0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0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5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4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3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2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97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1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71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40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2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60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5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5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1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04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5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en.adhezion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Kainz</dc:creator>
  <cp:keywords/>
  <dc:description/>
  <cp:lastModifiedBy>Isabella Kainz</cp:lastModifiedBy>
  <cp:revision>2</cp:revision>
  <dcterms:created xsi:type="dcterms:W3CDTF">2018-01-28T16:18:00Z</dcterms:created>
  <dcterms:modified xsi:type="dcterms:W3CDTF">2018-05-23T08:11:00Z</dcterms:modified>
</cp:coreProperties>
</file>